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Ndarja e Mesazhit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"duke u deklaruar solemnisht judenjve dhe grekëve mbi pendimin te Perëndia dhe për besimin në Zotin tonë Jezu Krisht”. Veprat e Apostuvje 20:21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Ndarja e Mesazhit të Ungjillit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Çdo i krishterë duhet të jetë në gjendje të shpjegojë mesazhin e ungjillit, 'lajmin e mirë', tek një kërkues. Mund të ketë raste kur askush tjetër nuk ka mundësinë dhe marrëdhënien që Perëndia ju ka dhënë me një person të caktuar. Ky modul përshkruan një prezantim të drejtpërdrejtë të quajtur "Diagrami Gjoni 3:16". Mund të mësohet dhe të riprodhohet nga ju në çdo copë të disponueshëme të letre, zarfi etj, në rast nevoje. Përveç kësaj, ju mund ta mbani këtë modul në Biblën tuaj për t'a përdorur si një kujtesë për mesazhin e ungjillit kur keni mundësi ta ndani atë.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Mësoni përmendësh Gjonin 3:16, nëse nuk e dini tashmë!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Të Përdorim Këtë Prezantim Të Ungjillit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Duhet të mbani mend përmendësh </w:t>
      </w:r>
      <w:r w:rsidDel="00000000" w:rsidR="00000000" w:rsidRPr="00000000">
        <w:rPr>
          <w:i w:val="1"/>
          <w:rtl w:val="0"/>
        </w:rPr>
        <w:t xml:space="preserve">Diagramin e Gjonit 3:16</w:t>
      </w:r>
      <w:r w:rsidDel="00000000" w:rsidR="00000000" w:rsidRPr="00000000">
        <w:rPr>
          <w:rtl w:val="0"/>
        </w:rPr>
        <w:t xml:space="preserve"> më poshtë, duke mësuar të kalosh çdo hap në rendin e duhur.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Kuptoni që diagrami ofron vetëm një kuadër për t'ju ndihmuar të shpjegoni mesazhin e ungjillit për mikun tuaj.</w:t>
      </w:r>
    </w:p>
    <w:p w:rsidR="00000000" w:rsidDel="00000000" w:rsidP="00000000" w:rsidRDefault="00000000" w:rsidRPr="00000000">
      <w:pPr>
        <w:numPr>
          <w:ilvl w:val="0"/>
          <w:numId w:val="7"/>
        </w:numPr>
        <w:ind w:left="1440" w:hanging="360"/>
        <w:contextualSpacing w:val="1"/>
        <w:rPr>
          <w:u w:val="none"/>
        </w:rPr>
      </w:pPr>
      <w:r w:rsidDel="00000000" w:rsidR="00000000" w:rsidRPr="00000000">
        <w:rPr>
          <w:rtl w:val="0"/>
        </w:rPr>
        <w:t xml:space="preserve">Përdorni fjalët tuaja!</w:t>
      </w:r>
    </w:p>
    <w:p w:rsidR="00000000" w:rsidDel="00000000" w:rsidP="00000000" w:rsidRDefault="00000000" w:rsidRPr="00000000">
      <w:pPr>
        <w:numPr>
          <w:ilvl w:val="0"/>
          <w:numId w:val="7"/>
        </w:numPr>
        <w:ind w:left="1440" w:hanging="360"/>
        <w:contextualSpacing w:val="1"/>
        <w:rPr>
          <w:u w:val="none"/>
        </w:rPr>
      </w:pPr>
      <w:r w:rsidDel="00000000" w:rsidR="00000000" w:rsidRPr="00000000">
        <w:rPr>
          <w:rtl w:val="0"/>
        </w:rPr>
        <w:t xml:space="preserve">Ndani nga zemra juaj.</w:t>
      </w:r>
    </w:p>
    <w:p w:rsidR="00000000" w:rsidDel="00000000" w:rsidP="00000000" w:rsidRDefault="00000000" w:rsidRPr="00000000">
      <w:pPr>
        <w:numPr>
          <w:ilvl w:val="0"/>
          <w:numId w:val="7"/>
        </w:numPr>
        <w:ind w:left="1440" w:hanging="360"/>
        <w:contextualSpacing w:val="1"/>
        <w:rPr>
          <w:u w:val="none"/>
        </w:rPr>
      </w:pPr>
      <w:r w:rsidDel="00000000" w:rsidR="00000000" w:rsidRPr="00000000">
        <w:rPr>
          <w:rtl w:val="0"/>
        </w:rPr>
        <w:t xml:space="preserve">Nuk është e domosdoshme të ndahet i gjithë prezantimi menjëherë, pasi duhet kohë për të rrënjosur të vërtetën e secilës pikë përpara se të shkosh te tjetra.</w:t>
      </w:r>
    </w:p>
    <w:p w:rsidR="00000000" w:rsidDel="00000000" w:rsidP="00000000" w:rsidRDefault="00000000" w:rsidRPr="00000000">
      <w:pPr>
        <w:numPr>
          <w:ilvl w:val="0"/>
          <w:numId w:val="7"/>
        </w:numPr>
        <w:ind w:left="1440" w:hanging="360"/>
        <w:contextualSpacing w:val="1"/>
        <w:rPr>
          <w:u w:val="none"/>
        </w:rPr>
      </w:pPr>
      <w:r w:rsidDel="00000000" w:rsidR="00000000" w:rsidRPr="00000000">
        <w:rPr>
          <w:rtl w:val="0"/>
        </w:rPr>
        <w:t xml:space="preserve">Besojini Frymës së Shenjtë që t'ju udhëheqë - kërkoni ndihmën e tij!</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Shpjegimi dhe referencat e Shkrimeve të dhëna për secilin hap nuk kanë për qëllim të memorizohen, por janë dhënë për t'ju ndihmuar në shpjegimin e ungjillit. Merrni kohë për të lexuar dhe kuptuar shpjegimet. Ju lutemi pyetni Mentorin tuaj ose Udhëheqësin tuaj qelizor nëse jeni i pasigurt për ndonjë pikë.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Udhëzime shtesë ndjekin prezantimin kryesor, duke përfshirë </w:t>
      </w:r>
      <w:r w:rsidDel="00000000" w:rsidR="00000000" w:rsidRPr="00000000">
        <w:rPr>
          <w:i w:val="1"/>
          <w:rtl w:val="0"/>
        </w:rPr>
        <w:t xml:space="preserve">udhëheqjen e mikut tuaj te Krishti </w:t>
      </w:r>
      <w:r w:rsidDel="00000000" w:rsidR="00000000" w:rsidRPr="00000000">
        <w:rPr>
          <w:rtl w:val="0"/>
        </w:rPr>
        <w:t xml:space="preserve">dhe hapat e ardhshëm për t'i ndihmuar ata të fillojnë në jetën e krishterë.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Ju gjithashtu duhet të mbani kopje broshurash,p.sh.: </w:t>
      </w:r>
      <w:r w:rsidDel="00000000" w:rsidR="00000000" w:rsidRPr="00000000">
        <w:rPr>
          <w:i w:val="1"/>
          <w:rtl w:val="0"/>
        </w:rPr>
        <w:t xml:space="preserve">Udhëtim në Jetë</w:t>
      </w:r>
      <w:r w:rsidDel="00000000" w:rsidR="00000000" w:rsidRPr="00000000">
        <w:rPr>
          <w:rtl w:val="0"/>
        </w:rPr>
        <w:t xml:space="preserve">, fletëpalosje kishe, </w:t>
      </w:r>
      <w:r w:rsidDel="00000000" w:rsidR="00000000" w:rsidRPr="00000000">
        <w:rPr>
          <w:i w:val="1"/>
          <w:rtl w:val="0"/>
        </w:rPr>
        <w:t xml:space="preserve">Një jetë e re</w:t>
      </w:r>
      <w:r w:rsidDel="00000000" w:rsidR="00000000" w:rsidRPr="00000000">
        <w:rPr>
          <w:rtl w:val="0"/>
        </w:rPr>
        <w:t xml:space="preserve">. Jepni një kopje të gjithëve me të cilët ju e ndani të gjithë diagramin e Gjonit 3:16. </w:t>
      </w:r>
    </w:p>
    <w:p w:rsidR="00000000" w:rsidDel="00000000" w:rsidP="00000000" w:rsidRDefault="00000000" w:rsidRPr="00000000">
      <w:pPr>
        <w:contextualSpacing w:val="0"/>
        <w:rPr/>
      </w:pPr>
      <w:r w:rsidDel="00000000" w:rsidR="00000000" w:rsidRPr="00000000">
        <w:rPr>
          <w:rtl w:val="0"/>
        </w:rPr>
        <w:t xml:space="preserve">Fletëpalosja e kishës, Mirësevini në Jetën e Grupit qelizorduhet t'i jepet gjithashtu të gjithë atyre që hyjnë në një grup qelizë për herë të parë.</w:t>
      </w:r>
    </w:p>
    <w:p w:rsidR="00000000" w:rsidDel="00000000" w:rsidP="00000000" w:rsidRDefault="00000000" w:rsidRPr="00000000">
      <w:pPr>
        <w:contextualSpacing w:val="0"/>
        <w:rPr/>
      </w:pPr>
      <w:r w:rsidDel="00000000" w:rsidR="00000000" w:rsidRPr="00000000">
        <w:rPr>
          <w:rtl w:val="0"/>
        </w:rPr>
        <w:t xml:space="preserve">Hapat për të nxjerrë Diagramin e Gjonit 3:16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1 - Zoti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Zoti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fillim Perëndia ekzistonte. Ai bëri gjithçka (Zanafilla 1: 1). Ai i jep jetë çdo gjëje të gjallë, dhe ai është Zoti mbi të gjithë krijimin. Si Krijues, ai vendos rregulla me të cilat çdo gjë funksionon (shih 1 Kronikave 29: 10-13; Veprat 17: 24-25).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2 - Perëndia dhe njerëzimi</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Zoti / Njeriu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e krijoi njerëzimin sipas shëmbëlltyrës së vet (Zanafilla 1: 26-27). Qëllimi i tij ishte që ne të jetonim në një univers të përqendruar te Perëndia në marrëdhënie me të dhe në nënshtrim ndaj autoritetit të tij (shih Mateu 4:10).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3 - Perëndia + Njerëzimi = Jeta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Perëndia /Njerëzimi Jeta </w:t>
      </w:r>
      <w:r w:rsidDel="00000000" w:rsidR="00000000" w:rsidRPr="00000000">
        <mc:AlternateContent>
          <mc:Choice Requires="wpg">
            <w:drawing>
              <wp:anchor allowOverlap="1" behindDoc="1" distB="57150" distT="57150" distL="57150" distR="57150" hidden="0" layoutInCell="1" locked="0" relativeHeight="0" simplePos="0">
                <wp:simplePos x="0" y="0"/>
                <wp:positionH relativeFrom="margin">
                  <wp:posOffset>904875</wp:posOffset>
                </wp:positionH>
                <wp:positionV relativeFrom="paragraph">
                  <wp:posOffset>19050</wp:posOffset>
                </wp:positionV>
                <wp:extent cx="3514725" cy="19050"/>
                <wp:effectExtent b="0" l="0" r="0" t="0"/>
                <wp:wrapSquare wrapText="bothSides" distB="57150" distT="57150" distL="57150" distR="57150"/>
                <wp:docPr id="4" name=""/>
                <a:graphic>
                  <a:graphicData uri="http://schemas.microsoft.com/office/word/2010/wordprocessingShape">
                    <wps:wsp>
                      <wps:cNvCnPr/>
                      <wps:spPr>
                        <a:xfrm>
                          <a:off x="1057275" y="1485900"/>
                          <a:ext cx="3495600" cy="0"/>
                        </a:xfrm>
                        <a:prstGeom prst="straightConnector1">
                          <a:avLst/>
                        </a:prstGeom>
                        <a:noFill/>
                        <a:ln cap="flat" cmpd="sng" w="9525">
                          <a:solidFill>
                            <a:srgbClr val="000000"/>
                          </a:solidFill>
                          <a:prstDash val="solid"/>
                          <a:round/>
                          <a:headEnd len="lg" w="lg" type="none"/>
                          <a:tailEnd len="lg" w="lg" type="stealth"/>
                        </a:ln>
                      </wps:spPr>
                      <wps:bodyPr anchorCtr="0" anchor="ctr" bIns="91425" lIns="91425" rIns="91425" tIns="91425"/>
                    </wps:wsp>
                  </a:graphicData>
                </a:graphic>
              </wp:anchor>
            </w:drawing>
          </mc:Choice>
          <mc:Fallback>
            <w:drawing>
              <wp:anchor allowOverlap="1" behindDoc="0" distB="57150" distT="57150" distL="57150" distR="57150" hidden="0" layoutInCell="1" locked="0" relativeHeight="0" simplePos="0">
                <wp:simplePos x="0" y="0"/>
                <wp:positionH relativeFrom="margin">
                  <wp:posOffset>904875</wp:posOffset>
                </wp:positionH>
                <wp:positionV relativeFrom="paragraph">
                  <wp:posOffset>19050</wp:posOffset>
                </wp:positionV>
                <wp:extent cx="3514725" cy="19050"/>
                <wp:effectExtent b="0" l="0" r="0" t="0"/>
                <wp:wrapSquare wrapText="bothSides" distB="57150" distT="57150" distL="57150" distR="57150"/>
                <wp:docPr id="4"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3514725" cy="19050"/>
                        </a:xfrm>
                        <a:prstGeom prst="rect"/>
                        <a:ln/>
                      </pic:spPr>
                    </pic:pic>
                  </a:graphicData>
                </a:graphic>
              </wp:anchor>
            </w:drawing>
          </mc:Fallback>
        </mc:AlternateConten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Duke zgjedhur të jetonim në nënshtrim ndaj Perëndisë dhe në marrëdhënie me të, ne do të përjetonim jetën, jetën me kuptim dhe qëllim. Ne duhet të pranonim lirisht mirësinë e Perëndisë, të jetonim në harmoni me njëri-tjetrin dhe të gjenim përmbushjen e vërtetë. (Shih Romakëve 8:28, Ligji i Përtërirë 4: 39-40, Jeremia 22: 15-16, 1 Pjetri 3: 8, Gjoni 10:10).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Dhe nuk do të kishte vdekje; Kjo jetë nuk do të mbaronte kurrë (Zanafilla 3: 22-24, Gjoni 11: 25-26).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4 - Mëkati dhe ndarja nga Perëndia</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Zoti/Njeriu </w:t>
      </w:r>
      <w:r w:rsidDel="00000000" w:rsidR="00000000" w:rsidRPr="00000000">
        <mc:AlternateContent>
          <mc:Choice Requires="wpg">
            <w:drawing>
              <wp:inline distB="114300" distT="114300" distL="114300" distR="114300">
                <wp:extent cx="1114425" cy="28575"/>
                <wp:effectExtent b="0" l="0" r="0" t="0"/>
                <wp:docPr id="2" name=""/>
                <a:graphic>
                  <a:graphicData uri="http://schemas.microsoft.com/office/word/2010/wordprocessingShape">
                    <wps:wsp>
                      <wps:cNvCnPr/>
                      <wps:spPr>
                        <a:xfrm>
                          <a:off x="1314450" y="1152525"/>
                          <a:ext cx="1095300" cy="96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a:graphicData>
                </a:graphic>
              </wp:inline>
            </w:drawing>
          </mc:Choice>
          <mc:Fallback>
            <w:drawing>
              <wp:inline distB="114300" distT="114300" distL="114300" distR="114300">
                <wp:extent cx="1114425" cy="28575"/>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114425" cy="28575"/>
                        </a:xfrm>
                        <a:prstGeom prst="rect"/>
                        <a:ln/>
                      </pic:spPr>
                    </pic:pic>
                  </a:graphicData>
                </a:graphic>
              </wp:inline>
            </w:drawing>
          </mc:Fallback>
        </mc:AlternateContent>
      </w:r>
      <w:r w:rsidDel="00000000" w:rsidR="00000000" w:rsidRPr="00000000">
        <w:rPr>
          <w:sz w:val="16"/>
          <w:szCs w:val="16"/>
          <w:rtl w:val="0"/>
        </w:rPr>
        <w:t xml:space="preserve"> Jeta</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                             Mëkati</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Njeriu         </w:t>
      </w:r>
      <w:r w:rsidDel="00000000" w:rsidR="00000000" w:rsidRPr="00000000">
        <mc:AlternateContent>
          <mc:Choice Requires="wpg">
            <w:drawing>
              <wp:inline distB="114300" distT="114300" distL="114300" distR="114300">
                <wp:extent cx="1104900" cy="19050"/>
                <wp:effectExtent b="0" l="0" r="0" t="0"/>
                <wp:docPr id="1" name=""/>
                <a:graphic>
                  <a:graphicData uri="http://schemas.microsoft.com/office/word/2010/wordprocessingShape">
                    <wps:wsp>
                      <wps:cNvCnPr/>
                      <wps:spPr>
                        <a:xfrm>
                          <a:off x="1104900" y="1524000"/>
                          <a:ext cx="1085700" cy="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a:graphicData>
                </a:graphic>
              </wp:inline>
            </w:drawing>
          </mc:Choice>
          <mc:Fallback>
            <w:drawing>
              <wp:inline distB="114300" distT="114300" distL="114300" distR="114300">
                <wp:extent cx="1104900" cy="19050"/>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0490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na dha vullnetin e lirë - fuqinë për të zgjedhur. Njerëzimi ishte i lirë të pranonte ose të refuzonte sundimin e Perëndisë mbi jetën e tyre (Ligji i Përtërirë 30: 19-20). Njerëzimi hodhi poshtë sundimin e Perëndisë, duke zgjedhur vetë-sundim. Ky është kuptimi i fjalës 'mëkat' - zgjedhja e mënyrës tonë në vend që t’i nënshtrohemi Perëndisë (Psalmi 53: 2-3, Isaia 53: 6). Mëkati na ndan nga Perëndia (Isaia 59: 2). Mëkati na bën skllevër të sjelljes tonë shkatërruese (Gjoni 8:34).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5 - Mëkati çon në vdekje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Zoti/</w:t>
      </w:r>
      <w:r w:rsidDel="00000000" w:rsidR="00000000" w:rsidRPr="00000000">
        <w:rPr>
          <w:strike w:val="1"/>
          <w:sz w:val="16"/>
          <w:szCs w:val="16"/>
          <w:rtl w:val="0"/>
        </w:rPr>
        <w:t xml:space="preserve">Njeriu  </w:t>
      </w:r>
      <w:r w:rsidDel="00000000" w:rsidR="00000000" w:rsidRPr="00000000">
        <mc:AlternateContent>
          <mc:Choice Requires="wpg">
            <w:drawing>
              <wp:inline distB="114300" distT="114300" distL="114300" distR="114300">
                <wp:extent cx="1104900" cy="19050"/>
                <wp:effectExtent b="0" l="0" r="0" t="0"/>
                <wp:docPr id="6" name=""/>
                <a:graphic>
                  <a:graphicData uri="http://schemas.microsoft.com/office/word/2010/wordprocessingShape">
                    <wps:wsp>
                      <wps:cNvCnPr/>
                      <wps:spPr>
                        <a:xfrm>
                          <a:off x="1104900" y="1524000"/>
                          <a:ext cx="1085700" cy="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a:graphicData>
                </a:graphic>
              </wp:inline>
            </w:drawing>
          </mc:Choice>
          <mc:Fallback>
            <w:drawing>
              <wp:inline distB="114300" distT="114300" distL="114300" distR="114300">
                <wp:extent cx="1104900" cy="19050"/>
                <wp:effectExtent b="0" l="0" r="0" t="0"/>
                <wp:docPr id="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104900" cy="19050"/>
                        </a:xfrm>
                        <a:prstGeom prst="rect"/>
                        <a:ln/>
                      </pic:spPr>
                    </pic:pic>
                  </a:graphicData>
                </a:graphic>
              </wp:inline>
            </w:drawing>
          </mc:Fallback>
        </mc:AlternateContent>
      </w:r>
      <w:r w:rsidDel="00000000" w:rsidR="00000000" w:rsidRPr="00000000">
        <w:rPr>
          <w:sz w:val="16"/>
          <w:szCs w:val="16"/>
          <w:rtl w:val="0"/>
        </w:rPr>
        <w:t xml:space="preserve"> Jetë</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                            Mëkati</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Njeriu        </w:t>
      </w:r>
      <w:r w:rsidDel="00000000" w:rsidR="00000000" w:rsidRPr="00000000">
        <mc:AlternateContent>
          <mc:Choice Requires="wpg">
            <w:drawing>
              <wp:inline distB="114300" distT="114300" distL="114300" distR="114300">
                <wp:extent cx="1104900" cy="19050"/>
                <wp:effectExtent b="0" l="0" r="0" t="0"/>
                <wp:docPr id="3" name=""/>
                <a:graphic>
                  <a:graphicData uri="http://schemas.microsoft.com/office/word/2010/wordprocessingShape">
                    <wps:wsp>
                      <wps:cNvCnPr/>
                      <wps:spPr>
                        <a:xfrm>
                          <a:off x="1104900" y="1524000"/>
                          <a:ext cx="1085700" cy="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a:graphicData>
                </a:graphic>
              </wp:inline>
            </w:drawing>
          </mc:Choice>
          <mc:Fallback>
            <w:drawing>
              <wp:inline distB="114300" distT="114300" distL="114300" distR="114300">
                <wp:extent cx="1104900" cy="19050"/>
                <wp:effectExtent b="0" l="0" r="0" t="0"/>
                <wp:docPr id="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104900" cy="19050"/>
                        </a:xfrm>
                        <a:prstGeom prst="rect"/>
                        <a:ln/>
                      </pic:spPr>
                    </pic:pic>
                  </a:graphicData>
                </a:graphic>
              </wp:inline>
            </w:drawing>
          </mc:Fallback>
        </mc:AlternateContent>
      </w:r>
      <w:r w:rsidDel="00000000" w:rsidR="00000000" w:rsidRPr="00000000">
        <w:rPr>
          <w:sz w:val="16"/>
          <w:szCs w:val="16"/>
          <w:rtl w:val="0"/>
        </w:rPr>
        <w:t xml:space="preserve">Vdekje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Mëkati (të refuzojmë poshtë sundimin e Perëndisë) ka pasoja:</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Ne jemi armiqësuar me Perëndinë (Kolosianëve 1:21)</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Ne jemi skllevër të natyrës sonë mëkatare vetëshkatërruese (Galatasve 5: 19-23, 6: 7-8)</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Ne jemi nën gjykimin dhe dënimin e Perëndisë (Gjoni 3:18, 36)</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Ne do të vdesim - si fizikisht ashtu edhe shpirtërisht (Romakëve 6:23, Mateut 10:28, Zbulesës 21: 8)</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Do të jemi të ndarë përgjithmonë nga Perëndia (2 Selanikasve 1: 8-9)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6 - Përpjekjet tona vetanake nuk mund të na sjellin përsëri te Perëndia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Zoti/</w:t>
      </w:r>
      <w:r w:rsidDel="00000000" w:rsidR="00000000" w:rsidRPr="00000000">
        <w:rPr>
          <w:strike w:val="1"/>
          <w:sz w:val="16"/>
          <w:szCs w:val="16"/>
          <w:rtl w:val="0"/>
        </w:rPr>
        <w:t xml:space="preserve">Njeriu  </w:t>
      </w:r>
      <w:r w:rsidDel="00000000" w:rsidR="00000000" w:rsidRPr="00000000">
        <mc:AlternateContent>
          <mc:Choice Requires="wpg">
            <w:drawing>
              <wp:inline distB="114300" distT="114300" distL="114300" distR="114300">
                <wp:extent cx="1104900" cy="19050"/>
                <wp:effectExtent b="0" l="0" r="0" t="0"/>
                <wp:docPr id="5" name=""/>
                <a:graphic>
                  <a:graphicData uri="http://schemas.microsoft.com/office/word/2010/wordprocessingShape">
                    <wps:wsp>
                      <wps:cNvCnPr/>
                      <wps:spPr>
                        <a:xfrm>
                          <a:off x="1104900" y="1524000"/>
                          <a:ext cx="1085700" cy="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a:graphicData>
                </a:graphic>
              </wp:inline>
            </w:drawing>
          </mc:Choice>
          <mc:Fallback>
            <w:drawing>
              <wp:inline distB="114300" distT="114300" distL="114300" distR="114300">
                <wp:extent cx="1104900" cy="19050"/>
                <wp:effectExtent b="0" l="0" r="0" t="0"/>
                <wp:docPr id="5"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104900" cy="19050"/>
                        </a:xfrm>
                        <a:prstGeom prst="rect"/>
                        <a:ln/>
                      </pic:spPr>
                    </pic:pic>
                  </a:graphicData>
                </a:graphic>
              </wp:inline>
            </w:drawing>
          </mc:Fallback>
        </mc:AlternateContent>
      </w:r>
      <w:r w:rsidDel="00000000" w:rsidR="00000000" w:rsidRPr="00000000">
        <w:rPr>
          <w:sz w:val="16"/>
          <w:szCs w:val="16"/>
          <w:rtl w:val="0"/>
        </w:rPr>
        <w:t xml:space="preserve"> Jetë</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Njeriu</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Që nga kohët më të hershme njerëzit kanë ndjerë një zbrazëti dhe mungesë qëllimi në jetën e tyre. Kjo i ka shtyrë ata të përpiqen të gjejnë Perëndinë (shih Predikuesi 1: 2). Njerëzit gjithmonë kanë provuar të gjitha llojet e mënyrave për të arritur te Perëndia: respektimi i fesë, kultet, kryerja e veprave të mira [për të kënaqur Perëndinë], madje edhe frekuentimin e kishës. Por çdo përpjekje e përqendruar tek njeriu është e destinuar të dështojë. Ndërkohë që ne ngulmojmë në ndjekjen e rrugeve tona (madje edhe në fe!) ne vazhdojmë të hedhim poshtë sundimin e Perëndisë mbi jetën tonë; Ne nuk mund të 'shpëtojmë'. Shih Mateu 7:21; 15: 7-9; Veprat 4:12; Gjoni 14: 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7 - Por Perëndia na kërkon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Mesazhi i lajmit të mirë, ungjilli, është që Perëndia na afrohet (2 Korintasve 5:19)</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Për shkak të mëkatit jemi të gjithë nën dënimin e Perëndisë (Gjoni 3:18, Romakëve 3:23, Efesianëve 2: 3)</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Por, për shkak të dashurisë së tij të madhe për ne, Perëndia na ofron faljen e mëkateve dhe pajtimin me të duke pranuar dhuratën e hirit të tij (favor të pamerituar). Shpëtimi është një dhuratë përtej ndonjë çmimi! (Efesianëve 2: 8-9, Psalmin 49: 7-9, 2 Korintasve 9:15)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8 - Jezusi ka hapur rrugën për t'u kthyer te Perëndia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Jezusi është 'qengji i Perëndisë' [dmth. Sakrifica] që heq mëkatin e botës '(Gjoni 1:29)</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Ndëshkimi për mëkatet tona është paguar nga Krishti (1 Pjetrit 3:18)</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Duke pranuar sakrificën e Krishtit për ne, mund të çlirohemi menjëherë nga </w:t>
      </w:r>
      <w:r w:rsidDel="00000000" w:rsidR="00000000" w:rsidRPr="00000000">
        <w:rPr>
          <w:i w:val="1"/>
          <w:rtl w:val="0"/>
        </w:rPr>
        <w:t xml:space="preserve">dënimi i mëkatit</w:t>
      </w:r>
      <w:r w:rsidDel="00000000" w:rsidR="00000000" w:rsidRPr="00000000">
        <w:rPr>
          <w:rtl w:val="0"/>
        </w:rPr>
        <w:t xml:space="preserve"> (Romakëve 8: 1); nga </w:t>
      </w:r>
      <w:r w:rsidDel="00000000" w:rsidR="00000000" w:rsidRPr="00000000">
        <w:rPr>
          <w:i w:val="1"/>
          <w:rtl w:val="0"/>
        </w:rPr>
        <w:t xml:space="preserve">fuqia e mëkatit</w:t>
      </w:r>
      <w:r w:rsidDel="00000000" w:rsidR="00000000" w:rsidRPr="00000000">
        <w:rPr>
          <w:rtl w:val="0"/>
        </w:rPr>
        <w:t xml:space="preserve"> në masë në rritje gjatë gjithë kësaj kohe të jetës (Galatasve 5:16, 25-26; 1 Gjonit 2: 1); dhe më në fund nga </w:t>
      </w:r>
      <w:r w:rsidDel="00000000" w:rsidR="00000000" w:rsidRPr="00000000">
        <w:rPr>
          <w:i w:val="1"/>
          <w:rtl w:val="0"/>
        </w:rPr>
        <w:t xml:space="preserve">prania e mëkatit</w:t>
      </w:r>
      <w:r w:rsidDel="00000000" w:rsidR="00000000" w:rsidRPr="00000000">
        <w:rPr>
          <w:rtl w:val="0"/>
        </w:rPr>
        <w:t xml:space="preserve"> në epokën e ardhshme (Zbulesa 21: 3-8)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9 - Lajmi i Mirë është për mua dhe për ju!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3"/>
        </w:numPr>
        <w:ind w:left="720" w:hanging="360"/>
        <w:contextualSpacing w:val="1"/>
        <w:rPr>
          <w:u w:val="none"/>
        </w:rPr>
      </w:pPr>
      <w:r w:rsidDel="00000000" w:rsidR="00000000" w:rsidRPr="00000000">
        <w:rPr>
          <w:rtl w:val="0"/>
        </w:rPr>
        <w:t xml:space="preserve">Mesazhi i ungjillit kërkon që ne të marrim një vendim: Ju mund të zgjidhni të vazhdoni të jetoni nën vetë-sundim dhe mëkat; Kjo është "rruga e gjerë që të çon në shkatërrim", ose ju mund t’ia jepni kontrollin e jetës suaj përsëri Perëndisë; Kjo është "rruga e ngushtë që çon në jetë" (Mateu 7: 13-14).</w:t>
      </w:r>
    </w:p>
    <w:p w:rsidR="00000000" w:rsidDel="00000000" w:rsidP="00000000" w:rsidRDefault="00000000" w:rsidRPr="00000000">
      <w:pPr>
        <w:numPr>
          <w:ilvl w:val="0"/>
          <w:numId w:val="13"/>
        </w:numPr>
        <w:ind w:left="720" w:hanging="360"/>
        <w:contextualSpacing w:val="1"/>
        <w:rPr>
          <w:u w:val="none"/>
        </w:rPr>
      </w:pPr>
      <w:r w:rsidDel="00000000" w:rsidR="00000000" w:rsidRPr="00000000">
        <w:rPr>
          <w:rtl w:val="0"/>
        </w:rPr>
        <w:t xml:space="preserve">Së pari, megjithatë, duhet të llogarisim koston:</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Shpëtimi është një dhuratë përtej çmimit - ne nuk mund ta fitojmë atë, vetëm ta pranojmë atë me përulësi (Efesianëve 2: 8-9).</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Megjithatë, kjo na kushton gjithçka - ne duhet të heqim dorë nga vetë jeta jonë (ose vetë-sundimi) për ta zotëruar atë (Lluka 14: 28-33).</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Hapi 10 - Sepse Perëndia e deshi aq botën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Merrni mikun tuaj për të lexuar Gjoni 3:16 dhe Gjoni 17: 3 me zë të lartë. Lexoni Gjoni 3:16 përsëri, duke zëvendësuar emrin e shokut tuaj me "botën".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t xml:space="preserve">"</w:t>
      </w:r>
      <w:r w:rsidDel="00000000" w:rsidR="00000000" w:rsidRPr="00000000">
        <w:rPr>
          <w:i w:val="1"/>
          <w:rtl w:val="0"/>
        </w:rPr>
        <w:t xml:space="preserve">Nëse marrim udhën e kryqit për tu kthyer te Perëndia, ne heqim dorë nga të drejtat e jetës sonë. Ai i është dhënë përsëri vendi i tij i ligjshëm. Kjo është ajo që na kushton të gjithëve ta ndjekim Jezusin ".</w:t>
      </w:r>
    </w:p>
    <w:p w:rsidR="00000000" w:rsidDel="00000000" w:rsidP="00000000" w:rsidRDefault="00000000" w:rsidRPr="00000000">
      <w:pPr>
        <w:contextualSpacing w:val="0"/>
        <w:rPr/>
      </w:pPr>
      <w:r w:rsidDel="00000000" w:rsidR="00000000" w:rsidRPr="00000000">
        <w:rPr>
          <w:rtl w:val="0"/>
        </w:rPr>
        <w:t xml:space="preserve">(Ralph Neighbor, </w:t>
      </w:r>
      <w:r w:rsidDel="00000000" w:rsidR="00000000" w:rsidRPr="00000000">
        <w:rPr>
          <w:i w:val="1"/>
          <w:rtl w:val="0"/>
        </w:rPr>
        <w:t xml:space="preserve">Touching Hearts Guidebook</w:t>
      </w:r>
      <w:r w:rsidDel="00000000" w:rsidR="00000000" w:rsidRPr="00000000">
        <w:rPr>
          <w:rtl w:val="0"/>
        </w:rPr>
        <w:t xml:space="preserve">, faqe 77).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Por, merrni në konsideratë atë që ju ka kushtuar tashmë që të jetoni pa udhëheqjen dhe drejtimin e Krishtit. Çfarë shqetësimesh mund të kishit shmangur nëse do t’i kishit dhënë jetën tuaj Krishtit më parë? [Lejo kohë për të marrë një përgjigje të duhur për këtë pyetje].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Ata që pendohen për mëkatet e tyre dhe i besojnë Krishtit për t'i shpëtuar ata, marrin një jetë të re, shpirtërore nga Perëndia (Gjoni 1: 12-13, Gjoni 3: 5-8, 2 Korintasve 5:17) dhe ata bëhen pjesë e familjes së tij, 'trupit' të tij, kishës (Romakëve 12: 4-5, 1 Korintasve 12: 12-13,27).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pyetje e fundit që mund të përdorni: "Duke ditur se çfarë bëni tani, a mund të largoheni nga Jezusi?"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Udhëhiq Mikun Tënd Tek Krishti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Para se të përpiqesh ta çosh mikun tënd tek Krishti, sigurohu që ata vërtet e kuptojnë mesazhin e ungjillit. Ju mund të përdorni këto pyetje: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Çfarë kuptoni me anë të fjalës 'mëkat'?</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A e dini se ju jeni mëkatar?</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Cilat janë efektet e mëkatit?</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A e dini se mëkati juaj ju ndan nga Perëndia?</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Pse erdhi Jezusi?</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Çfarë do t'ju kushtojë të ndiqni Jezusin?</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A jeni gati të dorëzoni jetën tuaj te Krishti?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miku juaj është gati të pranojë Krishtin, ndihmojeni që të lutet dhe të përkushtojë jetën tek ai. Udhëhiqni ato nëpër këto seksione, por le të luten me </w:t>
      </w:r>
      <w:r w:rsidDel="00000000" w:rsidR="00000000" w:rsidRPr="00000000">
        <w:rPr>
          <w:i w:val="1"/>
          <w:rtl w:val="0"/>
        </w:rPr>
        <w:t xml:space="preserve">fjalët e tyre</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Jezusi tha ... pendohuni [ndryshoni mendjen tuaj] dhe besoni ... (Marku 1:15)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1 Gjonit 1: 9. Tregoji Perëndisë të paktën një gjë që keni bërë që e dini se ishte e gabuar dhe kërkoni faljen e tij.</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1 Pjetrit 3:18. Tregoji Jezusit që ju besoni se ai vdiq për të marrë dënimin për mëkatet tuaja.</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2 Korintasve 5:15. Tregoji Jezusit se, që meqënëse Ai vdiq për ty, tani jeni të gatshëm të jetoni për të.</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Veprat 2: 38-39. Falenderonii që jeni të pranuar dhe të falur dhe për dhuratën e Shpirtit të Shenjtë!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Shënim: Lejo kohë që ky të jetë një takim i vërtetë me Atin Qiellor, jo vetëm një proces mekanik.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Hapat E </w:t>
      </w:r>
      <w:r w:rsidDel="00000000" w:rsidR="00000000" w:rsidRPr="00000000">
        <w:rPr>
          <w:b w:val="1"/>
          <w:rtl w:val="0"/>
        </w:rPr>
        <w:t xml:space="preserve">Ardhshëm</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Nëse miku juaj është lutur ta pranojë Krishtin:</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Jepni atij / asaj një kopje broshure. Kjo jep një shpjegim të qartë të mesazhit të ungjillit.</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Jepni atij një kopje të fletëpalosjes së kishës. </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Ftojeni atë që të marrë pjesë në takimin tuaj të ardhshëm të grupit qelizor me ju, dhe të bëni marrëveshje për të shkuar së bashku. Kontaktoni me udhëheqësin tuaj qelizor nëse keni nevojë për ndihmë, p.sh. me transport etj.</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Informoni udhëheqësin tuaj qelizor për lajmin e mirë!</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Sigurohuni që miku juaj të marrë një kopje të fletëpalosje brenda 2 javëve të para të bashkimit me grupin tuaj qelizor.</w:t>
      </w:r>
    </w:p>
    <w:p w:rsidR="00000000" w:rsidDel="00000000" w:rsidP="00000000" w:rsidRDefault="00000000" w:rsidRPr="00000000">
      <w:pPr>
        <w:contextualSpacing w:val="0"/>
        <w:rPr/>
      </w:pPr>
      <w:r w:rsidDel="00000000" w:rsidR="00000000" w:rsidRPr="00000000">
        <w:rPr>
          <w:rtl w:val="0"/>
        </w:rPr>
      </w:r>
    </w:p>
    <w:sectPr>
      <w:headerReference r:id="rId11" w:type="default"/>
      <w:footerReference r:id="rId12"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gjallë-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image" Target="media/image10.png"/><Relationship Id="rId12" Type="http://schemas.openxmlformats.org/officeDocument/2006/relationships/footer" Target="footer1.xml"/><Relationship Id="rId9" Type="http://schemas.openxmlformats.org/officeDocument/2006/relationships/image" Target="media/image6.png"/><Relationship Id="rId5" Type="http://schemas.openxmlformats.org/officeDocument/2006/relationships/image" Target="media/image8.png"/><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2.png"/></Relationships>
</file>